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85" w:rsidRDefault="00F22185" w:rsidP="00F22185">
      <w:pPr>
        <w:jc w:val="right"/>
      </w:pPr>
      <w:r>
        <w:rPr>
          <w:rStyle w:val="s0"/>
        </w:rPr>
        <w:t>Приложение 2</w:t>
      </w:r>
    </w:p>
    <w:p w:rsidR="00F22185" w:rsidRDefault="00F22185" w:rsidP="00F22185">
      <w:pPr>
        <w:jc w:val="right"/>
      </w:pPr>
      <w:r>
        <w:rPr>
          <w:rStyle w:val="s0"/>
        </w:rPr>
        <w:t xml:space="preserve">к </w:t>
      </w:r>
      <w:hyperlink w:anchor="sub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проведения комплексной</w:t>
      </w:r>
    </w:p>
    <w:p w:rsidR="00F22185" w:rsidRDefault="00F22185" w:rsidP="00F22185">
      <w:pPr>
        <w:jc w:val="right"/>
      </w:pPr>
      <w:r>
        <w:rPr>
          <w:rStyle w:val="s0"/>
        </w:rPr>
        <w:t>вневедомственной экспертизы технико-</w:t>
      </w:r>
    </w:p>
    <w:p w:rsidR="00F22185" w:rsidRDefault="00F22185" w:rsidP="00F22185">
      <w:pPr>
        <w:jc w:val="right"/>
      </w:pPr>
      <w:r>
        <w:rPr>
          <w:rStyle w:val="s0"/>
        </w:rPr>
        <w:t>экономических обоснований и проектно-</w:t>
      </w:r>
    </w:p>
    <w:p w:rsidR="00F22185" w:rsidRDefault="00F22185" w:rsidP="00F22185">
      <w:pPr>
        <w:jc w:val="right"/>
      </w:pPr>
      <w:r>
        <w:rPr>
          <w:rStyle w:val="s0"/>
        </w:rPr>
        <w:t>сметной документации, предназначенных для</w:t>
      </w:r>
    </w:p>
    <w:p w:rsidR="00F22185" w:rsidRDefault="00F22185" w:rsidP="00F22185">
      <w:pPr>
        <w:jc w:val="right"/>
      </w:pPr>
      <w:r>
        <w:rPr>
          <w:rStyle w:val="s0"/>
        </w:rPr>
        <w:t>строительства новых, а также изменения</w:t>
      </w:r>
    </w:p>
    <w:p w:rsidR="00F22185" w:rsidRDefault="00F22185" w:rsidP="00F22185">
      <w:pPr>
        <w:jc w:val="right"/>
      </w:pPr>
      <w:r>
        <w:rPr>
          <w:rStyle w:val="s0"/>
        </w:rPr>
        <w:t>(реконструкции, расширения, технического</w:t>
      </w:r>
    </w:p>
    <w:p w:rsidR="00F22185" w:rsidRDefault="00F22185" w:rsidP="00F22185">
      <w:pPr>
        <w:jc w:val="right"/>
      </w:pPr>
      <w:r>
        <w:rPr>
          <w:rStyle w:val="s0"/>
        </w:rPr>
        <w:t>перевооружения, модернизации и</w:t>
      </w:r>
    </w:p>
    <w:p w:rsidR="00F22185" w:rsidRDefault="00F22185" w:rsidP="00F22185">
      <w:pPr>
        <w:jc w:val="right"/>
      </w:pPr>
      <w:r>
        <w:rPr>
          <w:rStyle w:val="s0"/>
        </w:rPr>
        <w:t>капитального ремонта) существующих зданий</w:t>
      </w:r>
    </w:p>
    <w:p w:rsidR="00F22185" w:rsidRDefault="00F22185" w:rsidP="00F22185">
      <w:pPr>
        <w:jc w:val="right"/>
      </w:pPr>
      <w:r>
        <w:rPr>
          <w:rStyle w:val="s0"/>
        </w:rPr>
        <w:t>и сооружений, их комплексов, инженерных и</w:t>
      </w:r>
    </w:p>
    <w:p w:rsidR="00F22185" w:rsidRDefault="00F22185" w:rsidP="00F22185">
      <w:pPr>
        <w:jc w:val="right"/>
      </w:pPr>
      <w:r>
        <w:rPr>
          <w:rStyle w:val="s0"/>
        </w:rPr>
        <w:t>транспортных коммуникаций независимо от</w:t>
      </w:r>
    </w:p>
    <w:p w:rsidR="00F22185" w:rsidRDefault="00F22185" w:rsidP="00F22185">
      <w:pPr>
        <w:jc w:val="right"/>
      </w:pPr>
      <w:r>
        <w:rPr>
          <w:rStyle w:val="s0"/>
        </w:rPr>
        <w:t>источников финансирования</w:t>
      </w:r>
    </w:p>
    <w:p w:rsidR="00F22185" w:rsidRDefault="00F22185" w:rsidP="00F22185">
      <w:pPr>
        <w:jc w:val="right"/>
      </w:pPr>
      <w:r>
        <w:rPr>
          <w:rStyle w:val="s0"/>
        </w:rPr>
        <w:t> </w:t>
      </w:r>
    </w:p>
    <w:p w:rsidR="00F22185" w:rsidRDefault="00F22185" w:rsidP="00F22185">
      <w:pPr>
        <w:jc w:val="right"/>
      </w:pPr>
      <w:r>
        <w:t> </w:t>
      </w:r>
    </w:p>
    <w:p w:rsidR="00F22185" w:rsidRDefault="00F22185" w:rsidP="00F22185">
      <w:pPr>
        <w:jc w:val="center"/>
        <w:textAlignment w:val="baseline"/>
      </w:pPr>
      <w:r>
        <w:rPr>
          <w:rStyle w:val="s1"/>
        </w:rPr>
        <w:t>Перечень документации (материалов</w:t>
      </w:r>
      <w:proofErr w:type="gramStart"/>
      <w:r>
        <w:rPr>
          <w:rStyle w:val="s1"/>
        </w:rPr>
        <w:t>),</w:t>
      </w:r>
      <w:r>
        <w:rPr>
          <w:rStyle w:val="s1"/>
        </w:rPr>
        <w:br/>
        <w:t>представляемой</w:t>
      </w:r>
      <w:proofErr w:type="gramEnd"/>
      <w:r>
        <w:rPr>
          <w:rStyle w:val="s1"/>
        </w:rPr>
        <w:t xml:space="preserve"> на комплексную вневедомственную экспертизу проектов строительства новых объектов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 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К заявке заказчика (с указанием его реквизитов) на проведение комплексной вневедомственной экспертизы по проектам строительства новых объектов посредством единого Портала прилагаются следующие документы:</w:t>
      </w:r>
    </w:p>
    <w:p w:rsidR="00F22185" w:rsidRDefault="00F22185" w:rsidP="00F22185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4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по инвестициям и развитию РК от 26.02.18 г. № 135 (</w:t>
      </w:r>
      <w:hyperlink r:id="rId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по инвестициям и развитию РК от 04.08.18 г. 557 (</w:t>
      </w:r>
      <w:hyperlink r:id="rId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индустрии и инфраструктурного развития РК от 07.06.19 г. № 375 (</w:t>
      </w:r>
      <w:hyperlink r:id="rId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30.03.20 г. № 162 (</w:t>
      </w:r>
      <w:hyperlink r:id="rId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).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1. Исходные документы, являющиеся основанием для разработки ТЭО или ПСД для строительства новых зданий и сооружений, их комплексов, инженерных и транспортных коммуникаций: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>1) решение заказчика об инвестировании проекта с указанием планируемых сроков и продолжительности инвестиционного цикла в целом;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>2) правоустанавливающий документ на земельный участок (для ПСД), за исключением случаев: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 xml:space="preserve">если объект инженерной и транспортной инфраструктуры (линейные объекты) расположен на землях государственного лесного фонда - положительное заключение комиссии об одобрении перевода земель лесного фонда из одной категории в другую категорию в соответствии с </w:t>
      </w:r>
      <w:hyperlink r:id="rId12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перевода из категории земель лесного фонда в земли других категорий для целей, не связанных с ведением лесного хозяйства, утвержденными Приказом Министра сельского хозяйства Республики Казахстан от 28 января 2015 года № 18-02/45 (зарегистрированным в Реестре государственной регистрации нормативных правовых актов за № 10481), а также предварительное согласование с местными исполнительными органами;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 xml:space="preserve">если объект строительства и функционирования водохозяйственных сооружений, а также строительства, обустройства и функционирования объектов Государственной границы Республики Казахстан, нужд обороны при отсутствии других вариантов возможного их размещения располагаются на особо охраняемых природных территориях - согласование уполномоченного органа в области особо охраняемых природных территорий в соответствии с </w:t>
      </w:r>
      <w:hyperlink r:id="rId13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перевода земель особо охраняемых природных территорий в земли запаса утвержденными постановлением Правительства Республики Казахстан от 17 февраля 2009 года № 172, а также с местного исполнительного органа;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lastRenderedPageBreak/>
        <w:t xml:space="preserve">если объект инженерной и транспортной инфраструктуры (линейные объекты) расположен на территории государственных природных заказников и государственных заповедных зон - согласование уполномоченного органа в области особо охраняемых природных территорий в соответствии с </w:t>
      </w:r>
      <w:hyperlink r:id="rId14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утвержденными постановлением Правительства Республики Казахстан от 11 мая 2010 года № 399, а также с местными исполнительными органами.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>предварительное согласование с местными исполнительными органами (для ТЭО);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>3) материалы инженерных изысканий площадки строительства (в границах земельного участка и трасс прокладки коммуникаций), необходимые для проектирования для нового строительства или расширения существующего объекта, выполненные в соответствии с требованиями государственных нормативов. Для составления ТЭО используются имеющиеся в местных исполнительных органах фондовые материалы с результатами инженерных изысканий, проведенных и оформленных не позднее 5 (пяти) лет до момента их предоставления заказчику;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4) технические условия (со схемами трасс):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на подключение к источникам инженерного и транспортного обеспечения, выдаваемыми эксплуатирующими организациями;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трассы, выдаваемыми собственниками.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>Срок действия выданных заказчику технических условий не допускается изменение до сдачи-приемки построенного объекта в эксплуатацию, за исключением случаев, предусмотренных законодательством Республики Казахстан в сфере архитектуры, градостроительства и строительства;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>5) архитектурно-планировочное задание местного (города республиканского значения, столицы, городов областного значения, районов) исполнительного органа по делам архитектуры, градостроительства и строительства, включая оговоренные условия инженерной подготовки территории, благоустройства и озеленения (для ПСД);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>6) утвержденное заказчиком задание на проектирование (разработку проекта). Порядок составления, согласования и утверждения задания на проектирование, а также разработки ТЭО или ПСД и их состав определяются государственными строительными нормами и правилами;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 xml:space="preserve">7) в случаях, если необходимость в корректировке и </w:t>
      </w:r>
      <w:proofErr w:type="spellStart"/>
      <w:r>
        <w:rPr>
          <w:rStyle w:val="s0"/>
        </w:rPr>
        <w:t>переутверждении</w:t>
      </w:r>
      <w:proofErr w:type="spellEnd"/>
      <w:r>
        <w:rPr>
          <w:rStyle w:val="s0"/>
        </w:rPr>
        <w:t xml:space="preserve"> ПСД возникла в процессе строительства, то сведения о состоянии строительства, разделительная ведомость выполненных и остаточных физических объемов работ, утвержденная заказчиком, сравнительная таблица вносимых изменений в проектные решения, утвержденная заказчиком и копии актов выполненных работ включаются в состав документации, представляемой для проведения новой комплексной вневедомственной экспертизы и </w:t>
      </w:r>
      <w:proofErr w:type="spellStart"/>
      <w:r>
        <w:rPr>
          <w:rStyle w:val="s0"/>
        </w:rPr>
        <w:t>переутверждения</w:t>
      </w:r>
      <w:proofErr w:type="spellEnd"/>
      <w:r>
        <w:rPr>
          <w:rStyle w:val="s0"/>
        </w:rPr>
        <w:t>. По бюджетным инвестиционным проектам, а также иным государственным инвестиционным проектам дополнительно представляется решение соответствующей бюджетной комиссии;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8) иные согласования проекта на строительство, предусмотренные законодательством Республики Казахстан и нормативно-техническими документами в сфере архитектуры, градостроительства и строительства, а также в области промышленной безопасности опасных производственных объектов;</w:t>
      </w:r>
    </w:p>
    <w:p w:rsidR="00F22185" w:rsidRDefault="00F22185" w:rsidP="00F22185">
      <w:pPr>
        <w:ind w:firstLine="400"/>
        <w:jc w:val="both"/>
        <w:rPr>
          <w:rStyle w:val="s0"/>
        </w:rPr>
      </w:pPr>
      <w:r>
        <w:rPr>
          <w:rStyle w:val="s0"/>
        </w:rPr>
        <w:t>9) для проектов строительства уникальных объектов представляются специальные технические условия (особые нормы), по которым разработан проект.</w:t>
      </w:r>
    </w:p>
    <w:p w:rsidR="00F22185" w:rsidRDefault="00F22185" w:rsidP="00F22185">
      <w:pPr>
        <w:jc w:val="both"/>
      </w:pPr>
      <w:r>
        <w:rPr>
          <w:rStyle w:val="s3"/>
        </w:rPr>
        <w:t xml:space="preserve">Подпункт 10) пункта 1 дополнен в редакции </w:t>
      </w:r>
      <w:hyperlink r:id="rId15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МИИР РК от 06.08.2021г. № 423; приказа МИИР РК 21.10.2021г. № 546.</w:t>
      </w:r>
    </w:p>
    <w:p w:rsidR="00F22185" w:rsidRDefault="00F22185" w:rsidP="00F22185">
      <w:pPr>
        <w:ind w:firstLine="400"/>
        <w:jc w:val="both"/>
      </w:pPr>
      <w:r>
        <w:lastRenderedPageBreak/>
        <w:t>10)</w:t>
      </w:r>
      <w:r w:rsidRPr="001A6780">
        <w:t xml:space="preserve"> для видов намечаемой деятельности и </w:t>
      </w:r>
      <w:proofErr w:type="gramStart"/>
      <w:r w:rsidRPr="001A6780">
        <w:t>объектов</w:t>
      </w:r>
      <w:proofErr w:type="gramEnd"/>
      <w:r w:rsidRPr="001A6780">
        <w:t xml:space="preserve"> указанных в приложении 1 к Экологическому кодексу Республики Казахстан - заключение по результатам оценки воздействия на окружающую среду либо заключение о результатах скрининга воздействий намечаемой деятельности</w:t>
      </w:r>
      <w:r>
        <w:t>.</w:t>
      </w:r>
    </w:p>
    <w:p w:rsidR="00F22185" w:rsidRDefault="00F22185" w:rsidP="00F22185">
      <w:pPr>
        <w:ind w:firstLine="426"/>
        <w:jc w:val="both"/>
      </w:pPr>
      <w:r>
        <w:rPr>
          <w:rStyle w:val="s0"/>
        </w:rPr>
        <w:t xml:space="preserve">2. </w:t>
      </w:r>
      <w:r w:rsidRPr="00D721A3">
        <w:rPr>
          <w:rStyle w:val="s3"/>
        </w:rPr>
        <w:t>исключен в соответствии</w:t>
      </w:r>
      <w:r>
        <w:rPr>
          <w:rStyle w:val="s0"/>
        </w:rPr>
        <w:t xml:space="preserve"> </w:t>
      </w:r>
      <w:r w:rsidRPr="00D721A3">
        <w:rPr>
          <w:rStyle w:val="s3"/>
        </w:rPr>
        <w:t xml:space="preserve">с </w:t>
      </w:r>
      <w:hyperlink r:id="rId16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</w:t>
      </w:r>
      <w:r w:rsidRPr="009F3F8E">
        <w:rPr>
          <w:rStyle w:val="s3"/>
        </w:rPr>
        <w:t>МИИР РК от 06.08.2021г. № 423.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3. Специальные (дополнительные) исходные документы, необходимые для проведения в части санитарно-эпидемиологической экспертизы проектов: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согласование с территориальными подразделениями ведомства государственного органа в сфере санитарно-эпидемиологического благополучия населения проектной документации по установлению зоны санитарной охраны поверхностного и (или) подземного источников водоснабжения;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генеральный план застройки городских и сельских населенных пунктов, курортных зон, планировки и застройки населенных пунктов.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 xml:space="preserve">4. Материалы проекта, укомплектованные в соответствии с требованиями </w:t>
      </w:r>
      <w:hyperlink w:anchor="sub1500" w:history="1">
        <w:r>
          <w:rPr>
            <w:rStyle w:val="a3"/>
          </w:rPr>
          <w:t>пункта 15</w:t>
        </w:r>
      </w:hyperlink>
      <w:r>
        <w:rPr>
          <w:rStyle w:val="s0"/>
        </w:rPr>
        <w:t xml:space="preserve"> Правил: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1) устанавливающие правила разработки, согласования, утверждения и состав ТЭО на строительство;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2) определяющие порядок разработки, согласования, утверждения и состав документации на строительство (ПСД).</w:t>
      </w:r>
    </w:p>
    <w:p w:rsidR="00F22185" w:rsidRDefault="00F22185" w:rsidP="00F22185">
      <w:pPr>
        <w:jc w:val="both"/>
      </w:pPr>
      <w:r>
        <w:rPr>
          <w:rStyle w:val="s3"/>
        </w:rPr>
        <w:t xml:space="preserve">В пункт 5 внесены изменения в соответствии с </w:t>
      </w:r>
      <w:hyperlink r:id="rId17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индустрии и инфраструктурного развития РК от 07.06.19 г. № 375 (</w:t>
      </w:r>
      <w:hyperlink r:id="rId1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5. Информация о заказчике и разработчике проекта, представленного на экспертизу: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1) копии документов заказчика, предусмотренных законодательством о государственной регистрации юридических лиц, налогах и других обязательных платежах;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2) банковские реквизиты заказчика;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 xml:space="preserve">3) лицензия юридического лица - разработчика проекта (генеральной проектной и </w:t>
      </w:r>
      <w:proofErr w:type="spellStart"/>
      <w:r>
        <w:rPr>
          <w:rStyle w:val="s0"/>
        </w:rPr>
        <w:t>субпроектной</w:t>
      </w:r>
      <w:proofErr w:type="spellEnd"/>
      <w:r>
        <w:rPr>
          <w:rStyle w:val="s0"/>
        </w:rPr>
        <w:t xml:space="preserve"> организаций) с приложениями к ней и указанием категории лицензиата, дающих право на данный вид проектной деятельности;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4) расчет стоимости проектных (проектно-изыскательских) работ;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 xml:space="preserve">5) исключен в соответствии с </w:t>
      </w:r>
      <w:hyperlink r:id="rId19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по инвестициям и развитию РК от 26.02.18 г. № 135</w:t>
      </w:r>
      <w:r>
        <w:rPr>
          <w:rStyle w:val="s3"/>
        </w:rPr>
        <w:t xml:space="preserve"> (</w:t>
      </w:r>
      <w:hyperlink r:id="rId2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F22185" w:rsidRDefault="00F22185" w:rsidP="00F22185">
      <w:pPr>
        <w:ind w:firstLine="400"/>
        <w:jc w:val="both"/>
      </w:pPr>
      <w:r>
        <w:rPr>
          <w:rStyle w:val="s0"/>
        </w:rPr>
        <w:t>6) утвержденный заказчиком перечень материалов, изделий, конструкций, инженерного и технологического оборудования, иных материальных ресурсов, применяемых в проекте по прайс-листам с их приложением и указанием цены за одну единицу их измерения;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 xml:space="preserve">7) исключен в соответствии с </w:t>
      </w:r>
      <w:hyperlink r:id="rId21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по инвестициям и развитию РК от 26.02.18 г. № 135 </w:t>
      </w:r>
      <w:r>
        <w:rPr>
          <w:rStyle w:val="s3"/>
        </w:rPr>
        <w:t>(</w:t>
      </w:r>
      <w:hyperlink r:id="rId2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>8) сводная ведомость потребности основных строительных материалов, изделий, конструкций и оборудования, с учетом казахстанского содержания, составленная: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>на Портале в электронно-цифровой форме, в составе ПСД, представляемой посредством Портала;</w:t>
      </w:r>
    </w:p>
    <w:p w:rsidR="00F22185" w:rsidRDefault="00F22185" w:rsidP="00F22185">
      <w:pPr>
        <w:ind w:firstLine="397"/>
        <w:jc w:val="both"/>
      </w:pPr>
      <w:r>
        <w:rPr>
          <w:rStyle w:val="s0"/>
        </w:rPr>
        <w:t>на бумажном носителе, в составе ПСД с грифом секретности или с пометкой ДСП.</w:t>
      </w:r>
    </w:p>
    <w:p w:rsidR="0014401B" w:rsidRDefault="0014401B">
      <w:bookmarkStart w:id="0" w:name="_GoBack"/>
      <w:bookmarkEnd w:id="0"/>
    </w:p>
    <w:sectPr w:rsidR="0014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4D"/>
    <w:rsid w:val="0014401B"/>
    <w:rsid w:val="001B0A5A"/>
    <w:rsid w:val="007E079F"/>
    <w:rsid w:val="00963B94"/>
    <w:rsid w:val="00A6054D"/>
    <w:rsid w:val="00F2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86C8-159A-4303-A0DF-20C5723A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F22185"/>
    <w:rPr>
      <w:color w:val="333399"/>
      <w:u w:val="single"/>
    </w:rPr>
  </w:style>
  <w:style w:type="character" w:customStyle="1" w:styleId="s0">
    <w:name w:val="s0"/>
    <w:rsid w:val="00F2218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F22185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F22185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F2218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sid w:val="00F22185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6955483" TargetMode="External"/><Relationship Id="rId13" Type="http://schemas.openxmlformats.org/officeDocument/2006/relationships/hyperlink" Target="http:///online.zakon.kz/Document/?link_id=1000971230" TargetMode="External"/><Relationship Id="rId18" Type="http://schemas.openxmlformats.org/officeDocument/2006/relationships/hyperlink" Target="http:///online.zakon.kz/Document/?link_id=10069551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/online.zakon.kz/Document/?link_id=1006156204" TargetMode="External"/><Relationship Id="rId7" Type="http://schemas.openxmlformats.org/officeDocument/2006/relationships/hyperlink" Target="http:///online.zakon.kz/Document/?link_id=1006517603" TargetMode="External"/><Relationship Id="rId12" Type="http://schemas.openxmlformats.org/officeDocument/2006/relationships/hyperlink" Target="http:///online.zakon.kz/Document/?link_id=1004511326" TargetMode="External"/><Relationship Id="rId17" Type="http://schemas.openxmlformats.org/officeDocument/2006/relationships/hyperlink" Target="http:///online.zakon.kz/Document/?link_id=10069554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/online.zakon.kz/Document/?link_id=1006517629" TargetMode="External"/><Relationship Id="rId20" Type="http://schemas.openxmlformats.org/officeDocument/2006/relationships/hyperlink" Target="http:///online.zakon.kz/Document/?link_id=1006156177" TargetMode="External"/><Relationship Id="rId1" Type="http://schemas.openxmlformats.org/officeDocument/2006/relationships/styles" Target="styles.xml"/><Relationship Id="rId6" Type="http://schemas.openxmlformats.org/officeDocument/2006/relationships/hyperlink" Target="http:///online.zakon.kz/Document/?link_id=1006517652" TargetMode="External"/><Relationship Id="rId11" Type="http://schemas.openxmlformats.org/officeDocument/2006/relationships/hyperlink" Target="http:///online.zakon.kz/Document/?link_id=100746373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/online.zakon.kz/Document/?link_id=1006156177" TargetMode="External"/><Relationship Id="rId15" Type="http://schemas.openxmlformats.org/officeDocument/2006/relationships/hyperlink" Target="http:///online.zakon.kz/Document/?link_id=10065176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/online.zakon.kz/Document/?link_id=1007463769" TargetMode="External"/><Relationship Id="rId19" Type="http://schemas.openxmlformats.org/officeDocument/2006/relationships/hyperlink" Target="http:///online.zakon.kz/Document/?link_id=1006156204" TargetMode="External"/><Relationship Id="rId4" Type="http://schemas.openxmlformats.org/officeDocument/2006/relationships/hyperlink" Target="http:///online.zakon.kz/Document/?link_id=1006156204" TargetMode="External"/><Relationship Id="rId9" Type="http://schemas.openxmlformats.org/officeDocument/2006/relationships/hyperlink" Target="http:///online.zakon.kz/Document/?link_id=1006955182" TargetMode="External"/><Relationship Id="rId14" Type="http://schemas.openxmlformats.org/officeDocument/2006/relationships/hyperlink" Target="http:///online.zakon.kz/Document/?link_id=1001435298" TargetMode="External"/><Relationship Id="rId22" Type="http://schemas.openxmlformats.org/officeDocument/2006/relationships/hyperlink" Target="http:///online.zakon.kz/Document/?link_id=1006156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Балтекеева Айнур Каирбековна</dc:creator>
  <cp:keywords/>
  <dc:description/>
  <cp:lastModifiedBy>Балтекеева Айнур Каирбековна</cp:lastModifiedBy>
  <cp:revision>2</cp:revision>
  <dcterms:created xsi:type="dcterms:W3CDTF">2021-12-24T11:15:00Z</dcterms:created>
  <dcterms:modified xsi:type="dcterms:W3CDTF">2021-12-24T11:15:00Z</dcterms:modified>
</cp:coreProperties>
</file>